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suppressLineNumbers w:val="0"/>
        <w:spacing w:before="0" w:beforeAutospacing="0" w:after="0" w:afterAutospacing="0" w:line="330" w:lineRule="atLeast"/>
        <w:ind w:left="883" w:leftChars="0" w:right="0" w:hanging="883" w:hangingChars="200"/>
        <w:jc w:val="both"/>
        <w:rPr>
          <w:rFonts w:hint="eastAsia" w:ascii="宋体" w:hAnsi="宋体" w:eastAsia="宋体" w:cs="宋体"/>
          <w:b/>
          <w:bCs/>
          <w:sz w:val="44"/>
          <w:szCs w:val="44"/>
          <w:lang w:val="en-US" w:eastAsia="zh-CN"/>
        </w:rPr>
      </w:pPr>
      <w:bookmarkStart w:id="0" w:name="_Toc23611"/>
      <w:r>
        <w:rPr>
          <w:rFonts w:hint="eastAsia" w:ascii="宋体" w:hAnsi="宋体" w:eastAsia="宋体" w:cs="宋体"/>
          <w:b/>
          <w:bCs/>
          <w:sz w:val="44"/>
          <w:szCs w:val="44"/>
          <w:lang w:val="en-US" w:eastAsia="zh-CN"/>
        </w:rPr>
        <w:t>2022年</w:t>
      </w:r>
      <w:bookmarkEnd w:id="0"/>
      <w:r>
        <w:rPr>
          <w:rFonts w:hint="eastAsia" w:ascii="宋体" w:hAnsi="宋体" w:eastAsia="宋体" w:cs="宋体"/>
          <w:b/>
          <w:bCs/>
          <w:sz w:val="44"/>
          <w:szCs w:val="44"/>
          <w:lang w:val="en-US" w:eastAsia="zh-CN"/>
        </w:rPr>
        <w:t>原沈阳冶炼厂离退休人员统筹项目外养老金及采暖费等项目绩效评价报告</w:t>
      </w:r>
    </w:p>
    <w:p>
      <w:pPr>
        <w:pStyle w:val="4"/>
        <w:numPr>
          <w:ilvl w:val="1"/>
          <w:numId w:val="0"/>
        </w:numPr>
        <w:bidi w:val="0"/>
        <w:ind w:leftChars="0"/>
        <w:jc w:val="center"/>
        <w:rPr>
          <w:rFonts w:hint="eastAsia" w:ascii="宋体" w:hAnsi="宋体" w:eastAsia="宋体" w:cs="宋体"/>
          <w:sz w:val="44"/>
          <w:szCs w:val="44"/>
        </w:rPr>
      </w:pPr>
    </w:p>
    <w:p>
      <w:pPr>
        <w:rPr>
          <w:rFonts w:hint="eastAsia"/>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黑体" w:hAnsi="黑体" w:eastAsia="黑体" w:cs="黑体"/>
        </w:rPr>
      </w:pPr>
      <w:r>
        <w:rPr>
          <w:rFonts w:hint="eastAsia" w:ascii="黑体" w:hAnsi="黑体" w:eastAsia="黑体" w:cs="黑体"/>
        </w:rPr>
        <w:t>一、基本情况</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420"/>
        <w:jc w:val="both"/>
        <w:textAlignment w:val="auto"/>
        <w:rPr>
          <w:rFonts w:hint="eastAsia" w:ascii="楷体_GB2312" w:hAnsi="楷体_GB2312" w:eastAsia="楷体_GB2312" w:cs="楷体_GB2312"/>
          <w:b/>
          <w:bCs/>
          <w:kern w:val="2"/>
          <w:sz w:val="32"/>
          <w:szCs w:val="24"/>
          <w:lang w:val="en-US" w:eastAsia="zh-CN" w:bidi="ar-SA"/>
        </w:rPr>
      </w:pPr>
      <w:r>
        <w:rPr>
          <w:rFonts w:hint="eastAsia" w:ascii="楷体_GB2312" w:hAnsi="楷体_GB2312" w:eastAsia="楷体_GB2312" w:cs="楷体_GB2312"/>
          <w:b/>
          <w:bCs/>
          <w:kern w:val="2"/>
          <w:sz w:val="32"/>
          <w:szCs w:val="24"/>
          <w:lang w:val="en-US" w:eastAsia="zh-CN" w:bidi="ar-SA"/>
        </w:rPr>
        <w:t>（一）立项背景</w:t>
      </w:r>
    </w:p>
    <w:p>
      <w:pPr>
        <w:pStyle w:val="7"/>
        <w:keepNext w:val="0"/>
        <w:keepLines w:val="0"/>
        <w:pageBreakBefore w:val="0"/>
        <w:widowControl w:val="0"/>
        <w:kinsoku/>
        <w:wordWrap/>
        <w:overflowPunct/>
        <w:topLinePunct w:val="0"/>
        <w:autoSpaceDE/>
        <w:autoSpaceDN/>
        <w:bidi w:val="0"/>
        <w:adjustRightInd/>
        <w:snapToGrid/>
        <w:spacing w:line="600" w:lineRule="exact"/>
        <w:ind w:firstLine="480"/>
        <w:textAlignment w:val="auto"/>
        <w:rPr>
          <w:rFonts w:hint="eastAsia" w:ascii="方正仿宋_GBK" w:hAnsi="方正仿宋_GBK" w:eastAsia="方正仿宋_GBK" w:cs="方正仿宋_GBK"/>
          <w:kern w:val="2"/>
          <w:sz w:val="32"/>
          <w:szCs w:val="24"/>
          <w:lang w:val="en-US" w:eastAsia="zh-CN" w:bidi="ar-SA"/>
        </w:rPr>
      </w:pPr>
      <w:r>
        <w:rPr>
          <w:rFonts w:hint="eastAsia" w:ascii="方正仿宋_GBK" w:hAnsi="方正仿宋_GBK" w:eastAsia="方正仿宋_GBK" w:cs="方正仿宋_GBK"/>
          <w:kern w:val="2"/>
          <w:sz w:val="32"/>
          <w:szCs w:val="24"/>
          <w:lang w:val="en-US" w:eastAsia="zh-CN" w:bidi="ar-SA"/>
        </w:rPr>
        <w:t>依据原沈阳冶炼厂关闭破产后社会化管理服务有关规定，《关于解决沈冶离退休人员相关费用资金缺口问题的请示》（沈劳社〔2009〕33号），支付原沈阳冶炼厂离退休人员统筹项目外养老金及采暖费，维护人员稳定，保障离退休职工权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（二）项目实施情况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方正仿宋_GBK" w:hAnsi="方正仿宋_GBK" w:eastAsia="方正仿宋_GBK" w:cs="方正仿宋_GBK"/>
          <w:lang w:val="en-US" w:eastAsia="zh-CN"/>
        </w:rPr>
      </w:pPr>
      <w:r>
        <w:rPr>
          <w:rFonts w:hint="eastAsia" w:ascii="方正仿宋_GBK" w:hAnsi="方正仿宋_GBK" w:eastAsia="方正仿宋_GBK" w:cs="方正仿宋_GBK"/>
          <w:lang w:val="en-US" w:eastAsia="zh-CN"/>
        </w:rPr>
        <w:t>2022年全年，为保障离退休人员权益，共支付</w:t>
      </w:r>
      <w:r>
        <w:rPr>
          <w:rFonts w:hint="eastAsia" w:ascii="方正仿宋_GBK" w:hAnsi="方正仿宋_GBK" w:eastAsia="方正仿宋_GBK" w:cs="方正仿宋_GBK"/>
          <w:kern w:val="2"/>
          <w:sz w:val="32"/>
          <w:szCs w:val="24"/>
          <w:lang w:val="en-US" w:eastAsia="zh-CN" w:bidi="ar-SA"/>
        </w:rPr>
        <w:t>原沈阳冶炼厂离退休人员统筹项目外养老金及采暖费等项目资金994.1</w:t>
      </w:r>
      <w:r>
        <w:rPr>
          <w:rFonts w:hint="eastAsia" w:ascii="方正仿宋_GBK" w:hAnsi="方正仿宋_GBK" w:eastAsia="方正仿宋_GBK" w:cs="方正仿宋_GBK"/>
          <w:lang w:val="en-US" w:eastAsia="zh-CN"/>
        </w:rPr>
        <w:t>万元。</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（三）项目预算安排和资金使用情况</w:t>
      </w:r>
    </w:p>
    <w:p>
      <w:pPr>
        <w:keepNext w:val="0"/>
        <w:keepLines w:val="0"/>
        <w:pageBreakBefore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本项目财政资金预</w:t>
      </w:r>
      <w:r>
        <w:rPr>
          <w:rFonts w:hint="eastAsia" w:ascii="仿宋" w:hAnsi="仿宋" w:eastAsia="仿宋" w:cs="仿宋"/>
          <w:lang w:val="en-US" w:eastAsia="zh-CN"/>
        </w:rPr>
        <w:t>算为</w:t>
      </w:r>
      <w:r>
        <w:rPr>
          <w:rFonts w:hint="eastAsia" w:ascii="仿宋" w:hAnsi="仿宋" w:cs="仿宋"/>
          <w:lang w:val="en-US" w:eastAsia="zh-CN"/>
        </w:rPr>
        <w:t>1084</w:t>
      </w:r>
      <w:r>
        <w:rPr>
          <w:rFonts w:hint="eastAsia" w:ascii="仿宋" w:hAnsi="仿宋" w:eastAsia="仿宋" w:cs="仿宋"/>
          <w:lang w:val="en-US" w:eastAsia="zh-CN"/>
        </w:rPr>
        <w:t>万元，全部来源于</w:t>
      </w:r>
      <w:r>
        <w:rPr>
          <w:rFonts w:hint="eastAsia" w:ascii="仿宋" w:hAnsi="仿宋" w:cs="仿宋"/>
          <w:lang w:val="en-US" w:eastAsia="zh-CN"/>
        </w:rPr>
        <w:t>沈阳市</w:t>
      </w:r>
      <w:r>
        <w:rPr>
          <w:rFonts w:hint="eastAsia" w:ascii="仿宋" w:hAnsi="仿宋" w:eastAsia="仿宋" w:cs="仿宋"/>
          <w:lang w:val="en-US" w:eastAsia="zh-CN"/>
        </w:rPr>
        <w:t>本级财政投入资金。</w:t>
      </w:r>
      <w:r>
        <w:rPr>
          <w:rFonts w:hint="eastAsia" w:ascii="仿宋" w:hAnsi="仿宋" w:cs="仿宋"/>
          <w:lang w:val="en-US" w:eastAsia="zh-CN"/>
        </w:rPr>
        <w:t>2022年，</w:t>
      </w:r>
      <w:r>
        <w:rPr>
          <w:rFonts w:hint="eastAsia" w:ascii="仿宋" w:hAnsi="仿宋" w:eastAsia="仿宋" w:cs="仿宋"/>
          <w:lang w:val="en-US" w:eastAsia="zh-CN"/>
        </w:rPr>
        <w:t>本项目实际使用资金</w:t>
      </w:r>
      <w:r>
        <w:rPr>
          <w:rFonts w:hint="eastAsia" w:ascii="仿宋" w:hAnsi="仿宋" w:cs="仿宋"/>
          <w:lang w:val="en-US" w:eastAsia="zh-CN"/>
        </w:rPr>
        <w:t>994.1</w:t>
      </w:r>
      <w:r>
        <w:rPr>
          <w:rFonts w:hint="eastAsia" w:ascii="仿宋" w:hAnsi="仿宋" w:eastAsia="仿宋" w:cs="仿宋"/>
          <w:lang w:val="en-US" w:eastAsia="zh-CN"/>
        </w:rPr>
        <w:t>万元</w:t>
      </w:r>
      <w:r>
        <w:rPr>
          <w:rFonts w:hint="eastAsia" w:ascii="仿宋" w:hAnsi="仿宋" w:cs="仿宋"/>
          <w:lang w:val="en-US" w:eastAsia="zh-CN"/>
        </w:rPr>
        <w:t>。</w:t>
      </w:r>
      <w:r>
        <w:rPr>
          <w:rFonts w:hint="eastAsia" w:ascii="仿宋" w:hAnsi="仿宋" w:eastAsia="仿宋" w:cs="仿宋"/>
          <w:lang w:val="en-US" w:eastAsia="zh-CN"/>
        </w:rPr>
        <w:t>预算执行率为</w:t>
      </w:r>
      <w:r>
        <w:rPr>
          <w:rFonts w:hint="eastAsia" w:ascii="仿宋" w:hAnsi="仿宋" w:cs="仿宋"/>
          <w:lang w:val="en-US" w:eastAsia="zh-CN"/>
        </w:rPr>
        <w:t>91.71</w:t>
      </w:r>
      <w:r>
        <w:rPr>
          <w:rFonts w:hint="eastAsia" w:ascii="仿宋" w:hAnsi="仿宋" w:eastAsia="仿宋" w:cs="仿宋"/>
          <w:lang w:val="en-US" w:eastAsia="zh-CN"/>
        </w:rPr>
        <w:t>%。</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黑体" w:hAnsi="黑体" w:eastAsia="黑体" w:cs="黑体"/>
          <w:lang w:val="en-US" w:eastAsia="zh-CN"/>
        </w:rPr>
      </w:pPr>
      <w:r>
        <w:rPr>
          <w:rFonts w:hint="eastAsia" w:ascii="黑体" w:hAnsi="黑体" w:eastAsia="黑体" w:cs="黑体"/>
          <w:lang w:val="en-US" w:eastAsia="zh-CN"/>
        </w:rPr>
        <w:t>二、项目预算绩效目标、绩效指标设定情况</w:t>
      </w:r>
    </w:p>
    <w:p>
      <w:pPr>
        <w:pStyle w:val="2"/>
        <w:keepNext w:val="0"/>
        <w:keepLines w:val="0"/>
        <w:pageBreakBefore w:val="0"/>
        <w:kinsoku/>
        <w:wordWrap/>
        <w:overflowPunct/>
        <w:topLinePunct w:val="0"/>
        <w:autoSpaceDE/>
        <w:autoSpaceDN/>
        <w:bidi w:val="0"/>
        <w:adjustRightInd/>
        <w:snapToGrid/>
        <w:spacing w:after="0" w:line="600" w:lineRule="exact"/>
        <w:ind w:left="0" w:leftChars="0" w:firstLine="640" w:firstLineChars="0"/>
        <w:textAlignment w:val="auto"/>
        <w:rPr>
          <w:rFonts w:hint="eastAsia"/>
          <w:lang w:val="en-US" w:eastAsia="zh-CN"/>
        </w:rPr>
      </w:pPr>
      <w:r>
        <w:rPr>
          <w:rFonts w:hint="eastAsia" w:ascii="楷体_GB2312" w:hAnsi="楷体_GB2312" w:eastAsia="楷体_GB2312" w:cs="楷体_GB2312"/>
          <w:b/>
          <w:bCs/>
          <w:kern w:val="2"/>
          <w:sz w:val="32"/>
          <w:szCs w:val="24"/>
          <w:lang w:val="en-US" w:eastAsia="zh-CN" w:bidi="ar-SA"/>
        </w:rPr>
        <w:t>（一）项目总目标。</w:t>
      </w:r>
      <w:r>
        <w:rPr>
          <w:rFonts w:hint="eastAsia"/>
          <w:lang w:val="en-US" w:eastAsia="zh-CN"/>
        </w:rPr>
        <w:t>保障沈阳市离退休人员权益，确保各项待遇按时足额发放。</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b/>
          <w:bCs/>
          <w:kern w:val="2"/>
          <w:sz w:val="32"/>
          <w:szCs w:val="24"/>
          <w:lang w:val="en-US" w:eastAsia="zh-CN" w:bidi="ar-SA"/>
        </w:rPr>
      </w:pPr>
      <w:r>
        <w:rPr>
          <w:rFonts w:hint="eastAsia" w:ascii="楷体_GB2312" w:hAnsi="楷体_GB2312" w:eastAsia="楷体_GB2312" w:cs="楷体_GB2312"/>
          <w:b/>
          <w:bCs/>
          <w:kern w:val="2"/>
          <w:sz w:val="32"/>
          <w:szCs w:val="24"/>
          <w:lang w:val="en-US" w:eastAsia="zh-CN" w:bidi="ar-SA"/>
        </w:rPr>
        <w:t>（二）年度绩效目标</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lang w:val="en-US" w:eastAsia="zh-CN"/>
        </w:rPr>
      </w:pPr>
      <w:r>
        <w:rPr>
          <w:rFonts w:hint="eastAsia" w:ascii="仿宋" w:hAnsi="仿宋" w:cs="仿宋"/>
          <w:b/>
          <w:bCs/>
          <w:lang w:val="en-US" w:eastAsia="zh-CN"/>
        </w:rPr>
        <w:t>1、</w:t>
      </w:r>
      <w:r>
        <w:rPr>
          <w:rFonts w:hint="eastAsia"/>
          <w:b/>
          <w:bCs/>
          <w:lang w:eastAsia="zh-CN"/>
        </w:rPr>
        <w:t>产出目标。</w:t>
      </w:r>
      <w:r>
        <w:rPr>
          <w:rFonts w:hint="eastAsia"/>
          <w:lang w:eastAsia="zh-CN"/>
        </w:rPr>
        <w:t>离退休人员待遇支付</w:t>
      </w:r>
      <w:r>
        <w:rPr>
          <w:rFonts w:hint="eastAsia" w:ascii="方正仿宋_GBK" w:hAnsi="方正仿宋_GBK" w:eastAsia="方正仿宋_GBK" w:cs="方正仿宋_GBK"/>
          <w:lang w:val="en-US" w:eastAsia="zh-CN"/>
        </w:rPr>
        <w:t>5</w:t>
      </w:r>
      <w:r>
        <w:rPr>
          <w:rFonts w:hint="eastAsia"/>
          <w:lang w:val="en-US" w:eastAsia="zh-CN"/>
        </w:rPr>
        <w:t>万人次，养老保险按足额发放率</w:t>
      </w:r>
      <w:r>
        <w:rPr>
          <w:rFonts w:hint="eastAsia" w:ascii="方正仿宋_GBK" w:hAnsi="方正仿宋_GBK" w:eastAsia="方正仿宋_GBK" w:cs="方正仿宋_GBK"/>
          <w:lang w:val="en-US" w:eastAsia="zh-CN"/>
        </w:rPr>
        <w:t>100%</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ascii="仿宋" w:hAnsi="仿宋" w:cs="仿宋"/>
          <w:b/>
          <w:bCs/>
          <w:lang w:val="en-US" w:eastAsia="zh-CN"/>
        </w:rPr>
        <w:t>2、效果目标。</w:t>
      </w:r>
      <w:r>
        <w:rPr>
          <w:rFonts w:hint="eastAsia"/>
          <w:lang w:val="en-US" w:eastAsia="zh-CN"/>
        </w:rPr>
        <w:t>确保离退休人员的稳定，服务对象满意度</w:t>
      </w:r>
      <w:r>
        <w:rPr>
          <w:rFonts w:hint="eastAsia" w:ascii="方正仿宋_GBK" w:hAnsi="方正仿宋_GBK" w:eastAsia="方正仿宋_GBK" w:cs="方正仿宋_GBK"/>
          <w:lang w:val="en-US" w:eastAsia="zh-CN"/>
        </w:rPr>
        <w:t>100%</w:t>
      </w:r>
      <w:r>
        <w:rPr>
          <w:rFonts w:hint="eastAsia"/>
          <w:lang w:val="en-US" w:eastAsia="zh-CN"/>
        </w:rPr>
        <w:t>。</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黑体" w:hAnsi="黑体" w:eastAsia="黑体" w:cs="黑体"/>
        </w:rPr>
      </w:pPr>
      <w:r>
        <w:rPr>
          <w:rFonts w:hint="eastAsia" w:ascii="黑体" w:hAnsi="黑体" w:eastAsia="黑体" w:cs="黑体"/>
          <w:lang w:eastAsia="zh-CN"/>
        </w:rPr>
        <w:t>三</w:t>
      </w:r>
      <w:r>
        <w:rPr>
          <w:rFonts w:hint="eastAsia" w:ascii="黑体" w:hAnsi="黑体" w:eastAsia="黑体" w:cs="黑体"/>
        </w:rPr>
        <w:t>、绩效</w:t>
      </w:r>
      <w:r>
        <w:rPr>
          <w:rFonts w:hint="eastAsia" w:ascii="黑体" w:hAnsi="黑体" w:eastAsia="黑体" w:cs="黑体"/>
          <w:lang w:eastAsia="zh-CN"/>
        </w:rPr>
        <w:t>评价</w:t>
      </w:r>
      <w:r>
        <w:rPr>
          <w:rFonts w:hint="eastAsia" w:ascii="黑体" w:hAnsi="黑体" w:eastAsia="黑体" w:cs="黑体"/>
        </w:rPr>
        <w:t>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lang w:val="en-US" w:eastAsia="zh-CN"/>
        </w:rPr>
      </w:pPr>
      <w:r>
        <w:rPr>
          <w:rFonts w:hint="eastAsia" w:ascii="仿宋_GB2312" w:hAnsi="仿宋_GB2312" w:eastAsia="仿宋_GB2312" w:cs="仿宋_GB2312"/>
        </w:rPr>
        <w:t>为深入贯彻落实《中共中央 国务院关于全面实施预算绩效管理的意见》（中发〔2018〕34号）</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依据</w:t>
      </w:r>
      <w:r>
        <w:rPr>
          <w:rFonts w:hint="eastAsia" w:ascii="仿宋_GB2312" w:hAnsi="仿宋_GB2312" w:eastAsia="仿宋_GB2312" w:cs="仿宋_GB2312"/>
          <w:lang w:eastAsia="zh-CN"/>
        </w:rPr>
        <w:t>沈阳市</w:t>
      </w:r>
      <w:r>
        <w:rPr>
          <w:rFonts w:hint="eastAsia" w:ascii="仿宋_GB2312" w:hAnsi="仿宋_GB2312" w:eastAsia="仿宋_GB2312" w:cs="仿宋_GB2312"/>
          <w:lang w:val="en-US" w:eastAsia="zh-CN"/>
        </w:rPr>
        <w:t>财政局</w:t>
      </w:r>
      <w:r>
        <w:rPr>
          <w:rFonts w:hint="eastAsia" w:ascii="仿宋_GB2312" w:hAnsi="仿宋_GB2312" w:eastAsia="仿宋_GB2312" w:cs="仿宋_GB2312"/>
          <w:lang w:eastAsia="zh-CN"/>
        </w:rPr>
        <w:t>预算绩效管理工作安排，</w:t>
      </w:r>
      <w:r>
        <w:rPr>
          <w:rFonts w:hint="eastAsia" w:ascii="仿宋_GB2312" w:hAnsi="仿宋_GB2312" w:eastAsia="仿宋_GB2312" w:cs="仿宋_GB2312"/>
          <w:lang w:val="en-US" w:eastAsia="zh-CN"/>
        </w:rPr>
        <w:t>2023年5月</w:t>
      </w:r>
      <w:r>
        <w:rPr>
          <w:rFonts w:hint="eastAsia" w:ascii="仿宋_GB2312" w:hAnsi="仿宋_GB2312" w:eastAsia="仿宋_GB2312" w:cs="仿宋_GB2312"/>
        </w:rPr>
        <w:t>对202</w:t>
      </w:r>
      <w:r>
        <w:rPr>
          <w:rFonts w:hint="eastAsia" w:ascii="仿宋_GB2312" w:hAnsi="仿宋_GB2312" w:eastAsia="仿宋_GB2312" w:cs="仿宋_GB2312"/>
          <w:lang w:val="en-US" w:eastAsia="zh-CN"/>
        </w:rPr>
        <w:t>2</w:t>
      </w:r>
      <w:r>
        <w:rPr>
          <w:rFonts w:hint="eastAsia" w:ascii="仿宋_GB2312" w:hAnsi="仿宋_GB2312" w:eastAsia="仿宋_GB2312" w:cs="仿宋_GB2312"/>
          <w:lang w:val="zh-TW" w:eastAsia="zh-TW"/>
        </w:rPr>
        <w:t>年度</w:t>
      </w:r>
      <w:r>
        <w:rPr>
          <w:rFonts w:hint="eastAsia" w:ascii="方正仿宋_GBK" w:hAnsi="方正仿宋_GBK" w:eastAsia="方正仿宋_GBK" w:cs="方正仿宋_GBK"/>
          <w:kern w:val="2"/>
          <w:sz w:val="32"/>
          <w:szCs w:val="24"/>
          <w:lang w:val="en-US" w:eastAsia="zh-CN" w:bidi="ar-SA"/>
        </w:rPr>
        <w:t>原沈阳冶炼厂离退休人员统筹项目外养老金及采暖费等</w:t>
      </w:r>
      <w:r>
        <w:rPr>
          <w:rFonts w:hint="eastAsia" w:ascii="仿宋_GB2312" w:hAnsi="仿宋_GB2312" w:eastAsia="仿宋_GB2312" w:cs="仿宋_GB2312"/>
          <w:lang w:val="zh-TW" w:eastAsia="zh-CN"/>
        </w:rPr>
        <w:t>项目</w:t>
      </w:r>
      <w:r>
        <w:rPr>
          <w:rFonts w:hint="eastAsia" w:ascii="仿宋_GB2312" w:hAnsi="仿宋_GB2312" w:eastAsia="仿宋_GB2312" w:cs="仿宋_GB2312"/>
        </w:rPr>
        <w:t>资金</w:t>
      </w:r>
      <w:r>
        <w:rPr>
          <w:rFonts w:hint="eastAsia" w:ascii="仿宋_GB2312" w:hAnsi="仿宋_GB2312" w:eastAsia="仿宋_GB2312" w:cs="仿宋_GB2312"/>
          <w:lang w:val="en-US" w:eastAsia="zh-CN"/>
        </w:rPr>
        <w:t>使用情况</w:t>
      </w:r>
      <w:r>
        <w:rPr>
          <w:rFonts w:hint="eastAsia" w:ascii="仿宋_GB2312" w:hAnsi="仿宋_GB2312" w:eastAsia="仿宋_GB2312" w:cs="仿宋_GB2312"/>
        </w:rPr>
        <w:t>开展</w:t>
      </w:r>
      <w:r>
        <w:rPr>
          <w:rFonts w:hint="eastAsia" w:ascii="仿宋_GB2312" w:hAnsi="仿宋_GB2312" w:eastAsia="仿宋_GB2312" w:cs="仿宋_GB2312"/>
          <w:lang w:eastAsia="zh-CN"/>
        </w:rPr>
        <w:t>了</w:t>
      </w:r>
      <w:r>
        <w:rPr>
          <w:rFonts w:hint="eastAsia"/>
          <w:lang w:val="en-US" w:eastAsia="zh-CN"/>
        </w:rPr>
        <w:t>绩效评价工作。编制</w:t>
      </w:r>
      <w:r>
        <w:rPr>
          <w:rFonts w:hint="eastAsia"/>
          <w:lang w:val="zh-TW" w:eastAsia="zh-TW"/>
        </w:rPr>
        <w:t>绩效评价指标体系及其评分规则，通过绩效分析和逐项打分，</w:t>
      </w:r>
      <w:r>
        <w:rPr>
          <w:rFonts w:hint="eastAsia"/>
          <w:lang w:val="en-US" w:eastAsia="zh-CN"/>
        </w:rPr>
        <w:t>进行绩效综合评价。</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（一）评价内容</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color w:val="auto"/>
          <w:sz w:val="32"/>
          <w:highlight w:val="none"/>
          <w:lang w:val="en-US" w:eastAsia="zh-CN"/>
        </w:rPr>
        <w:t>1.财务评审。</w:t>
      </w:r>
      <w:r>
        <w:rPr>
          <w:rFonts w:hint="eastAsia" w:ascii="仿宋_GB2312" w:hAnsi="仿宋_GB2312" w:eastAsia="仿宋_GB2312" w:cs="仿宋_GB2312"/>
          <w:color w:val="auto"/>
          <w:sz w:val="32"/>
          <w:highlight w:val="none"/>
          <w:lang w:eastAsia="zh-CN"/>
        </w:rPr>
        <w:t>采用审查申报材料和现场勘查相结合的方式，对</w:t>
      </w:r>
      <w:r>
        <w:rPr>
          <w:rFonts w:hint="eastAsia" w:ascii="方正仿宋_GBK" w:hAnsi="方正仿宋_GBK" w:eastAsia="方正仿宋_GBK" w:cs="方正仿宋_GBK"/>
          <w:kern w:val="2"/>
          <w:sz w:val="32"/>
          <w:szCs w:val="24"/>
          <w:lang w:val="en-US" w:eastAsia="zh-CN" w:bidi="ar-SA"/>
        </w:rPr>
        <w:t>原沈阳冶炼厂离退休人员统筹项目外养老金及采暖费</w:t>
      </w:r>
      <w:r>
        <w:rPr>
          <w:rFonts w:hint="eastAsia" w:ascii="仿宋_GB2312" w:hAnsi="仿宋_GB2312" w:eastAsia="仿宋_GB2312" w:cs="仿宋_GB2312"/>
          <w:color w:val="auto"/>
          <w:sz w:val="32"/>
          <w:highlight w:val="none"/>
          <w:lang w:val="en-US" w:eastAsia="zh-CN"/>
        </w:rPr>
        <w:t>项目进行财务评审。主要评审内容为</w:t>
      </w:r>
      <w:r>
        <w:rPr>
          <w:rFonts w:hint="eastAsia" w:ascii="仿宋_GB2312" w:hAnsi="仿宋_GB2312" w:eastAsia="仿宋_GB2312" w:cs="仿宋_GB2312"/>
          <w:sz w:val="32"/>
          <w:szCs w:val="32"/>
        </w:rPr>
        <w:t>付款单据</w:t>
      </w:r>
      <w:r>
        <w:rPr>
          <w:rFonts w:hint="eastAsia" w:ascii="仿宋_GB2312" w:hAnsi="仿宋_GB2312" w:eastAsia="仿宋_GB2312" w:cs="仿宋_GB2312"/>
          <w:sz w:val="32"/>
          <w:szCs w:val="32"/>
          <w:lang w:val="en-US" w:eastAsia="zh-CN"/>
        </w:rPr>
        <w:t>与会计凭证，确定支付金额</w:t>
      </w:r>
      <w:r>
        <w:rPr>
          <w:rFonts w:hint="eastAsia" w:ascii="仿宋_GB2312" w:hAnsi="仿宋_GB2312" w:eastAsia="仿宋_GB2312" w:cs="仿宋_GB2312"/>
          <w:sz w:val="32"/>
          <w:szCs w:val="32"/>
          <w:lang w:eastAsia="zh-CN"/>
        </w:rPr>
        <w:t>。</w:t>
      </w:r>
    </w:p>
    <w:p>
      <w:pPr>
        <w:pStyle w:val="2"/>
        <w:keepNext w:val="0"/>
        <w:keepLines w:val="0"/>
        <w:pageBreakBefore w:val="0"/>
        <w:kinsoku/>
        <w:wordWrap/>
        <w:overflowPunct/>
        <w:topLinePunct w:val="0"/>
        <w:autoSpaceDE/>
        <w:autoSpaceDN/>
        <w:bidi w:val="0"/>
        <w:adjustRightInd/>
        <w:snapToGrid/>
        <w:spacing w:after="0" w:line="600" w:lineRule="exact"/>
        <w:ind w:left="0" w:leftChars="0" w:firstLine="0" w:firstLineChars="0"/>
        <w:textAlignment w:val="auto"/>
        <w:rPr>
          <w:rFonts w:hint="eastAsia" w:ascii="仿宋_GB2312" w:hAnsi="仿宋_GB2312" w:eastAsia="仿宋_GB2312" w:cs="仿宋_GB2312"/>
          <w:lang w:val="en-US"/>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2.专项资金使用情况评价。</w:t>
      </w:r>
      <w:r>
        <w:rPr>
          <w:rFonts w:hint="eastAsia" w:ascii="仿宋_GB2312" w:hAnsi="仿宋_GB2312" w:eastAsia="仿宋_GB2312" w:cs="仿宋_GB2312"/>
          <w:b w:val="0"/>
          <w:bCs w:val="0"/>
          <w:sz w:val="32"/>
          <w:szCs w:val="32"/>
          <w:lang w:val="en-US" w:eastAsia="zh-CN"/>
        </w:rPr>
        <w:t>对资金使用是否符合规定进行评价，确保项目资金使用情况有效。</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黑体" w:hAnsi="黑体" w:eastAsia="黑体" w:cs="黑体"/>
        </w:rPr>
      </w:pPr>
      <w:r>
        <w:rPr>
          <w:rFonts w:hint="eastAsia" w:ascii="黑体" w:hAnsi="黑体" w:eastAsia="黑体" w:cs="黑体"/>
          <w:lang w:eastAsia="zh-CN"/>
        </w:rPr>
        <w:t>四、</w:t>
      </w:r>
      <w:r>
        <w:rPr>
          <w:rFonts w:hint="eastAsia" w:ascii="黑体" w:hAnsi="黑体" w:eastAsia="黑体" w:cs="黑体"/>
        </w:rPr>
        <w:t>综合评价结论</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lang w:val="en-US"/>
        </w:rPr>
      </w:pPr>
      <w:r>
        <w:rPr>
          <w:rFonts w:hint="eastAsia" w:ascii="方正仿宋_GBK" w:hAnsi="方正仿宋_GBK" w:eastAsia="方正仿宋_GBK" w:cs="方正仿宋_GBK"/>
          <w:lang w:val="en-US" w:eastAsia="zh-CN"/>
        </w:rPr>
        <w:t>2022</w:t>
      </w:r>
      <w:r>
        <w:rPr>
          <w:rFonts w:hint="eastAsia"/>
          <w:lang w:val="en-US" w:eastAsia="zh-CN"/>
        </w:rPr>
        <w:t>年共支付</w:t>
      </w:r>
      <w:r>
        <w:rPr>
          <w:rFonts w:hint="eastAsia" w:ascii="方正仿宋_GBK" w:hAnsi="方正仿宋_GBK" w:eastAsia="方正仿宋_GBK" w:cs="方正仿宋_GBK"/>
          <w:kern w:val="2"/>
          <w:sz w:val="32"/>
          <w:szCs w:val="24"/>
          <w:lang w:val="en-US" w:eastAsia="zh-CN" w:bidi="ar-SA"/>
        </w:rPr>
        <w:t>原沈阳冶炼厂离退休人员统筹项目外养老金及采暖费</w:t>
      </w:r>
      <w:r>
        <w:rPr>
          <w:rFonts w:hint="eastAsia" w:ascii="方正仿宋_GBK" w:hAnsi="方正仿宋_GBK" w:eastAsia="方正仿宋_GBK" w:cs="方正仿宋_GBK"/>
          <w:lang w:val="en-US" w:eastAsia="zh-CN"/>
        </w:rPr>
        <w:t>994.1</w:t>
      </w:r>
      <w:r>
        <w:rPr>
          <w:rFonts w:hint="eastAsia"/>
          <w:lang w:val="en-US" w:eastAsia="zh-CN"/>
        </w:rPr>
        <w:t>万元，确保了养老保险待遇按时足额准确发放，确保了离退休人员的稳定，服务对象满意度</w:t>
      </w:r>
      <w:r>
        <w:rPr>
          <w:rFonts w:hint="eastAsia" w:ascii="方正仿宋_GBK" w:hAnsi="方正仿宋_GBK" w:eastAsia="方正仿宋_GBK" w:cs="方正仿宋_GBK"/>
          <w:lang w:val="en-US" w:eastAsia="zh-CN"/>
        </w:rPr>
        <w:t>100%</w:t>
      </w:r>
      <w:r>
        <w:rPr>
          <w:rFonts w:hint="eastAsia"/>
          <w:lang w:val="en-US" w:eastAsia="zh-CN"/>
        </w:rPr>
        <w:t>。综上，</w:t>
      </w:r>
      <w:r>
        <w:rPr>
          <w:rFonts w:hint="eastAsia"/>
          <w:lang w:val="zh-TW" w:eastAsia="zh-TW"/>
        </w:rPr>
        <w:t>通过绩效分析和逐项打分，</w:t>
      </w:r>
      <w:r>
        <w:rPr>
          <w:rFonts w:hint="eastAsia"/>
          <w:lang w:val="en-US" w:eastAsia="zh-CN"/>
        </w:rPr>
        <w:t>绩效评价总得分</w:t>
      </w:r>
      <w:r>
        <w:rPr>
          <w:rFonts w:hint="eastAsia" w:ascii="方正仿宋_GBK" w:hAnsi="方正仿宋_GBK" w:eastAsia="方正仿宋_GBK" w:cs="方正仿宋_GBK"/>
          <w:lang w:val="en-US" w:eastAsia="zh-CN"/>
        </w:rPr>
        <w:t>90</w:t>
      </w:r>
      <w:r>
        <w:rPr>
          <w:rFonts w:hint="eastAsia"/>
          <w:lang w:val="en-US" w:eastAsia="zh-CN"/>
        </w:rPr>
        <w:t>分。</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黑体" w:hAnsi="黑体" w:eastAsia="黑体" w:cs="黑体"/>
          <w:lang w:eastAsia="zh-CN"/>
        </w:rPr>
      </w:pPr>
      <w:r>
        <w:rPr>
          <w:rFonts w:hint="eastAsia" w:ascii="黑体" w:hAnsi="黑体" w:eastAsia="黑体" w:cs="黑体"/>
          <w:lang w:eastAsia="zh-CN"/>
        </w:rPr>
        <w:t>五</w:t>
      </w:r>
      <w:r>
        <w:rPr>
          <w:rFonts w:hint="eastAsia" w:ascii="黑体" w:hAnsi="黑体" w:eastAsia="黑体" w:cs="黑体"/>
        </w:rPr>
        <w:t>、</w:t>
      </w:r>
      <w:r>
        <w:rPr>
          <w:rFonts w:hint="eastAsia" w:ascii="黑体" w:hAnsi="黑体" w:eastAsia="黑体" w:cs="黑体"/>
          <w:lang w:eastAsia="zh-CN"/>
        </w:rPr>
        <w:t>应用结果建议及改进措施</w:t>
      </w:r>
    </w:p>
    <w:p>
      <w:pPr>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继续完善政策和项目内容。下一步将建立健全预算管理和资金管理制度，加强资金监管，明确工作责任，促进项目预算的有序进行。</w:t>
      </w:r>
      <w:bookmarkStart w:id="1" w:name="_GoBack"/>
      <w:bookmarkEnd w:id="1"/>
    </w:p>
    <w:sectPr>
      <w:footerReference r:id="rId5" w:type="default"/>
      <w:pgSz w:w="11906" w:h="16838"/>
      <w:pgMar w:top="2098" w:right="1474" w:bottom="1587" w:left="1587" w:header="851" w:footer="992" w:gutter="0"/>
      <w:pgBorders>
        <w:top w:val="none" w:sz="0" w:space="0"/>
        <w:left w:val="none" w:sz="0" w:space="0"/>
        <w:bottom w:val="none" w:sz="0" w:space="0"/>
        <w:right w:val="none" w:sz="0" w:space="0"/>
      </w:pgBorders>
      <w:pgNumType w:fmt="decimal"/>
      <w:cols w:space="0" w:num="1"/>
      <w:rtlGutter w:val="0"/>
      <w:docGrid w:type="lines" w:linePitch="45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w:rPr>
        <w:sz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- 82 -</w:t>
                          </w:r>
                          <w:r>
                            <w:rPr>
                              <w:rFonts w:hint="eastAsia"/>
                              <w:sz w:val="28"/>
                              <w:szCs w:val="44"/>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6"/>
                      <w:rPr>
                        <w:rFonts w:hint="eastAsia" w:eastAsia="仿宋"/>
                        <w:sz w:val="28"/>
                        <w:szCs w:val="44"/>
                        <w:lang w:eastAsia="zh-CN"/>
                      </w:rPr>
                    </w:pPr>
                    <w:r>
                      <w:rPr>
                        <w:rFonts w:hint="eastAsia"/>
                        <w:sz w:val="28"/>
                        <w:szCs w:val="44"/>
                        <w:lang w:eastAsia="zh-CN"/>
                      </w:rPr>
                      <w:fldChar w:fldCharType="begin"/>
                    </w:r>
                    <w:r>
                      <w:rPr>
                        <w:rFonts w:hint="eastAsia"/>
                        <w:sz w:val="28"/>
                        <w:szCs w:val="44"/>
                        <w:lang w:eastAsia="zh-CN"/>
                      </w:rPr>
                      <w:instrText xml:space="preserve"> PAGE  \* MERGEFORMAT </w:instrText>
                    </w:r>
                    <w:r>
                      <w:rPr>
                        <w:rFonts w:hint="eastAsia"/>
                        <w:sz w:val="28"/>
                        <w:szCs w:val="44"/>
                        <w:lang w:eastAsia="zh-CN"/>
                      </w:rPr>
                      <w:fldChar w:fldCharType="separate"/>
                    </w:r>
                    <w:r>
                      <w:rPr>
                        <w:rFonts w:hint="eastAsia"/>
                        <w:sz w:val="28"/>
                        <w:szCs w:val="44"/>
                        <w:lang w:eastAsia="zh-CN"/>
                      </w:rPr>
                      <w:t>- 82 -</w:t>
                    </w:r>
                    <w:r>
                      <w:rPr>
                        <w:rFonts w:hint="eastAsia"/>
                        <w:sz w:val="28"/>
                        <w:szCs w:val="44"/>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9A4309"/>
    <w:multiLevelType w:val="multilevel"/>
    <w:tmpl w:val="9F9A4309"/>
    <w:lvl w:ilvl="0" w:tentative="0">
      <w:start w:val="1"/>
      <w:numFmt w:val="chineseCounting"/>
      <w:suff w:val="nothing"/>
      <w:lvlText w:val="%1、"/>
      <w:lvlJc w:val="left"/>
      <w:pPr>
        <w:tabs>
          <w:tab w:val="left" w:pos="0"/>
        </w:tabs>
        <w:ind w:left="0" w:firstLine="0"/>
      </w:pPr>
      <w:rPr>
        <w:rFonts w:hint="eastAsia"/>
      </w:rPr>
    </w:lvl>
    <w:lvl w:ilvl="1" w:tentative="0">
      <w:start w:val="1"/>
      <w:numFmt w:val="chineseCounting"/>
      <w:pStyle w:val="4"/>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default" w:ascii="宋体" w:hAnsi="宋体" w:eastAsia="宋体" w:cs="宋体"/>
        <w:sz w:val="32"/>
        <w:szCs w:val="32"/>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225"/>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jYxYjdhNjhkMDdmZmFiM2Y3YTNkM2VkNjc2NGIifQ=="/>
  </w:docVars>
  <w:rsids>
    <w:rsidRoot w:val="651627A7"/>
    <w:rsid w:val="05611B20"/>
    <w:rsid w:val="09B4058A"/>
    <w:rsid w:val="0FD12DB2"/>
    <w:rsid w:val="1443485D"/>
    <w:rsid w:val="17F95D26"/>
    <w:rsid w:val="17FF9B40"/>
    <w:rsid w:val="19D33D78"/>
    <w:rsid w:val="19FF99F1"/>
    <w:rsid w:val="1BCE1DF9"/>
    <w:rsid w:val="1D3B7BAE"/>
    <w:rsid w:val="1EFE999F"/>
    <w:rsid w:val="27FE1FD5"/>
    <w:rsid w:val="2ABF5FBC"/>
    <w:rsid w:val="2BDFEC6F"/>
    <w:rsid w:val="30117B88"/>
    <w:rsid w:val="33FB9D96"/>
    <w:rsid w:val="37BF0501"/>
    <w:rsid w:val="3B6B1145"/>
    <w:rsid w:val="3B9F41DE"/>
    <w:rsid w:val="3DA5CF25"/>
    <w:rsid w:val="3EDD5033"/>
    <w:rsid w:val="3FF62B3F"/>
    <w:rsid w:val="3FFE7D14"/>
    <w:rsid w:val="466435C2"/>
    <w:rsid w:val="4A8A1120"/>
    <w:rsid w:val="4C974C54"/>
    <w:rsid w:val="4CBB8739"/>
    <w:rsid w:val="4CDE3555"/>
    <w:rsid w:val="53DFB27B"/>
    <w:rsid w:val="576F74D9"/>
    <w:rsid w:val="5A3FCD38"/>
    <w:rsid w:val="5FACDA58"/>
    <w:rsid w:val="5FED8389"/>
    <w:rsid w:val="613009FC"/>
    <w:rsid w:val="64A83727"/>
    <w:rsid w:val="651627A7"/>
    <w:rsid w:val="667F8B4A"/>
    <w:rsid w:val="6B37A3E0"/>
    <w:rsid w:val="6BEF2011"/>
    <w:rsid w:val="6C5077A0"/>
    <w:rsid w:val="6D7FEF24"/>
    <w:rsid w:val="6F76392C"/>
    <w:rsid w:val="6FEDAA88"/>
    <w:rsid w:val="6FFFE4B1"/>
    <w:rsid w:val="74D34C00"/>
    <w:rsid w:val="77004633"/>
    <w:rsid w:val="777F890E"/>
    <w:rsid w:val="7AA22D19"/>
    <w:rsid w:val="7B4F6481"/>
    <w:rsid w:val="7B5D9F86"/>
    <w:rsid w:val="7B6F3F37"/>
    <w:rsid w:val="7B777D7A"/>
    <w:rsid w:val="7BBFFEAD"/>
    <w:rsid w:val="7BC35E57"/>
    <w:rsid w:val="7BCCE22E"/>
    <w:rsid w:val="7BE4C878"/>
    <w:rsid w:val="7F1A58FA"/>
    <w:rsid w:val="7F6FFC0C"/>
    <w:rsid w:val="7F7BDA93"/>
    <w:rsid w:val="7F7F60E4"/>
    <w:rsid w:val="7FBD75CA"/>
    <w:rsid w:val="7FE670A3"/>
    <w:rsid w:val="7FEFA1F7"/>
    <w:rsid w:val="9B7755BC"/>
    <w:rsid w:val="AFFFE959"/>
    <w:rsid w:val="B5979A6E"/>
    <w:rsid w:val="B793C819"/>
    <w:rsid w:val="BFAEA410"/>
    <w:rsid w:val="CB7FFE63"/>
    <w:rsid w:val="CE70835F"/>
    <w:rsid w:val="D997DF7C"/>
    <w:rsid w:val="E67AA1DA"/>
    <w:rsid w:val="ECDAFE00"/>
    <w:rsid w:val="EEDF48BF"/>
    <w:rsid w:val="EF7C0E60"/>
    <w:rsid w:val="EFF7188F"/>
    <w:rsid w:val="EFF7B8E1"/>
    <w:rsid w:val="EFFF4700"/>
    <w:rsid w:val="F1FF3195"/>
    <w:rsid w:val="F29A8F33"/>
    <w:rsid w:val="F3FAED33"/>
    <w:rsid w:val="F7374361"/>
    <w:rsid w:val="F77F19CF"/>
    <w:rsid w:val="F959539C"/>
    <w:rsid w:val="FB7E6154"/>
    <w:rsid w:val="FBFF2E19"/>
    <w:rsid w:val="FBFF3063"/>
    <w:rsid w:val="FCFD690C"/>
    <w:rsid w:val="FD156363"/>
    <w:rsid w:val="FD5FC645"/>
    <w:rsid w:val="FD7F1B77"/>
    <w:rsid w:val="FD8D90E0"/>
    <w:rsid w:val="FDBDA17E"/>
    <w:rsid w:val="FECE1D65"/>
    <w:rsid w:val="FFBDED6E"/>
    <w:rsid w:val="FFCE2DEA"/>
    <w:rsid w:val="FFCED861"/>
    <w:rsid w:val="FFDEE101"/>
    <w:rsid w:val="FFEF3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20" w:firstLineChars="200"/>
      <w:jc w:val="both"/>
    </w:pPr>
    <w:rPr>
      <w:rFonts w:eastAsia="仿宋" w:asciiTheme="minorAscii" w:hAnsiTheme="minorAscii" w:cstheme="minorBidi"/>
      <w:kern w:val="2"/>
      <w:sz w:val="32"/>
      <w:szCs w:val="24"/>
      <w:lang w:val="en-US" w:eastAsia="zh-CN" w:bidi="ar-SA"/>
    </w:rPr>
  </w:style>
  <w:style w:type="paragraph" w:styleId="4">
    <w:name w:val="heading 2"/>
    <w:basedOn w:val="1"/>
    <w:next w:val="1"/>
    <w:unhideWhenUsed/>
    <w:qFormat/>
    <w:uiPriority w:val="0"/>
    <w:pPr>
      <w:keepNext/>
      <w:keepLines/>
      <w:numPr>
        <w:ilvl w:val="1"/>
        <w:numId w:val="1"/>
      </w:numPr>
      <w:spacing w:beforeLines="0" w:beforeAutospacing="0" w:afterLines="0" w:afterAutospacing="0" w:line="560" w:lineRule="exact"/>
      <w:ind w:firstLine="0" w:firstLineChars="0"/>
      <w:outlineLvl w:val="1"/>
    </w:pPr>
    <w:rPr>
      <w:rFonts w:ascii="Arial" w:hAnsi="Arial" w:eastAsia="楷体"/>
      <w:b/>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style>
  <w:style w:type="paragraph" w:styleId="3">
    <w:name w:val="Body Text Indent"/>
    <w:basedOn w:val="1"/>
    <w:qFormat/>
    <w:uiPriority w:val="0"/>
    <w:pPr>
      <w:spacing w:after="120"/>
      <w:ind w:left="420" w:leftChars="200"/>
    </w:pPr>
  </w:style>
  <w:style w:type="paragraph" w:styleId="5">
    <w:name w:val="Block Text"/>
    <w:basedOn w:val="1"/>
    <w:qFormat/>
    <w:uiPriority w:val="0"/>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SA"/>
    </w:rPr>
  </w:style>
  <w:style w:type="character" w:styleId="10">
    <w:name w:val="Strong"/>
    <w:basedOn w:val="9"/>
    <w:qFormat/>
    <w:uiPriority w:val="0"/>
    <w:rPr>
      <w:b/>
    </w:rPr>
  </w:style>
  <w:style w:type="character" w:styleId="11">
    <w:name w:val="Emphasis"/>
    <w:basedOn w:val="9"/>
    <w:qFormat/>
    <w:uiPriority w:val="0"/>
    <w:rPr>
      <w:i/>
    </w:rPr>
  </w:style>
  <w:style w:type="character" w:customStyle="1" w:styleId="12">
    <w:name w:val="font71"/>
    <w:basedOn w:val="9"/>
    <w:qFormat/>
    <w:uiPriority w:val="0"/>
    <w:rPr>
      <w:rFonts w:hint="default" w:ascii="Times New Roman" w:hAnsi="Times New Roman" w:cs="Times New Roman"/>
      <w:color w:val="000000"/>
      <w:sz w:val="21"/>
      <w:szCs w:val="21"/>
      <w:u w:val="none"/>
    </w:rPr>
  </w:style>
  <w:style w:type="character" w:customStyle="1" w:styleId="13">
    <w:name w:val="font61"/>
    <w:basedOn w:val="9"/>
    <w:qFormat/>
    <w:uiPriority w:val="0"/>
    <w:rPr>
      <w:rFonts w:hint="eastAsia" w:ascii="宋体" w:hAnsi="宋体" w:eastAsia="宋体" w:cs="宋体"/>
      <w:color w:val="000000"/>
      <w:sz w:val="21"/>
      <w:szCs w:val="21"/>
      <w:u w:val="none"/>
    </w:rPr>
  </w:style>
  <w:style w:type="character" w:customStyle="1" w:styleId="14">
    <w:name w:val="font181"/>
    <w:basedOn w:val="9"/>
    <w:qFormat/>
    <w:uiPriority w:val="0"/>
    <w:rPr>
      <w:rFonts w:hint="default" w:ascii="Times New Roman" w:hAnsi="Times New Roman" w:cs="Times New Roman"/>
      <w:color w:val="000000"/>
      <w:sz w:val="21"/>
      <w:szCs w:val="21"/>
      <w:u w:val="none"/>
    </w:rPr>
  </w:style>
  <w:style w:type="character" w:customStyle="1" w:styleId="15">
    <w:name w:val="font31"/>
    <w:basedOn w:val="9"/>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1826</Words>
  <Characters>1934</Characters>
  <Lines>0</Lines>
  <Paragraphs>0</Paragraphs>
  <TotalTime>2</TotalTime>
  <ScaleCrop>false</ScaleCrop>
  <LinksUpToDate>false</LinksUpToDate>
  <CharactersWithSpaces>1938</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2022-09-20T07:49:00Z</dcterms:created>
  <dc:creator>陈华卿</dc:creator>
  <cp:lastModifiedBy>user</cp:lastModifiedBy>
  <dcterms:modified xsi:type="dcterms:W3CDTF">2023-08-15T14:26:34Z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1667A8CE701144438E0E03957C6A0E49</vt:lpwstr>
  </property>
</Properties>
</file>